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79B" w:rsidRDefault="00AE579B"/>
    <w:p w:rsidR="007C015A" w:rsidRDefault="004F3788">
      <w:bookmarkStart w:id="0" w:name="_GoBack"/>
      <w:bookmarkEnd w:id="0"/>
      <w:r>
        <w:t xml:space="preserve">Results of the Invitation for Bids: </w:t>
      </w:r>
      <w:r w:rsidRPr="004F3788">
        <w:t>CIRESP-001: 151625</w:t>
      </w:r>
    </w:p>
    <w:p w:rsidR="004F3788" w:rsidRDefault="004F3788">
      <w:r w:rsidRPr="004F3788">
        <w:t>Solar Photovoltaic plants under Cook Islands Renewable Energy Sector Project (COO46453-002) Phase 1 (Atiu, Mangaia, Mauke and Mitiaro)</w:t>
      </w:r>
    </w:p>
    <w:p w:rsidR="004F3788" w:rsidRDefault="004F3788"/>
    <w:p w:rsidR="004F3788" w:rsidRDefault="004F3788"/>
    <w:tbl>
      <w:tblPr>
        <w:tblW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599"/>
        <w:gridCol w:w="1599"/>
        <w:gridCol w:w="1599"/>
        <w:gridCol w:w="1599"/>
      </w:tblGrid>
      <w:tr w:rsidR="004F3788" w:rsidRPr="00DD1E2C" w:rsidTr="00AD525A">
        <w:trPr>
          <w:trHeight w:val="300"/>
        </w:trPr>
        <w:tc>
          <w:tcPr>
            <w:tcW w:w="675" w:type="dxa"/>
            <w:shd w:val="clear" w:color="auto" w:fill="auto"/>
            <w:noWrap/>
            <w:vAlign w:val="bottom"/>
          </w:tcPr>
          <w:p w:rsidR="004F3788" w:rsidRPr="00DD1E2C" w:rsidRDefault="004F3788" w:rsidP="00AD525A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F3788" w:rsidRPr="00DD1E2C" w:rsidRDefault="004F3788" w:rsidP="00AD525A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DD1E2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Name of </w:t>
            </w:r>
            <w:r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Bidder who submitted the bid</w:t>
            </w:r>
          </w:p>
        </w:tc>
        <w:tc>
          <w:tcPr>
            <w:tcW w:w="1599" w:type="dxa"/>
          </w:tcPr>
          <w:p w:rsidR="004F3788" w:rsidRDefault="004F3788" w:rsidP="00AD525A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Bid price as read out at bid opening</w:t>
            </w:r>
          </w:p>
        </w:tc>
        <w:tc>
          <w:tcPr>
            <w:tcW w:w="1599" w:type="dxa"/>
          </w:tcPr>
          <w:p w:rsidR="004F3788" w:rsidRDefault="004F3788" w:rsidP="00AD525A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3E3E8E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Evaluated prices of each bid that was evaluated</w:t>
            </w:r>
          </w:p>
        </w:tc>
        <w:tc>
          <w:tcPr>
            <w:tcW w:w="1599" w:type="dxa"/>
          </w:tcPr>
          <w:p w:rsidR="004F3788" w:rsidRPr="003E3E8E" w:rsidRDefault="004F3788" w:rsidP="00AD525A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3E3E8E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Bids that were rejected</w:t>
            </w:r>
          </w:p>
        </w:tc>
        <w:tc>
          <w:tcPr>
            <w:tcW w:w="1599" w:type="dxa"/>
          </w:tcPr>
          <w:p w:rsidR="004F3788" w:rsidRPr="003E3E8E" w:rsidRDefault="004F3788" w:rsidP="00AD525A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3E3E8E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Reason for rejection</w:t>
            </w:r>
          </w:p>
        </w:tc>
      </w:tr>
      <w:tr w:rsidR="004F3788" w:rsidRPr="00DD1E2C" w:rsidTr="00AD525A">
        <w:trPr>
          <w:trHeight w:val="30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4F3788" w:rsidRPr="00DD1E2C" w:rsidRDefault="004F3788" w:rsidP="00AD525A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DD1E2C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F3788" w:rsidRPr="00DD1E2C" w:rsidRDefault="004F3788" w:rsidP="00AD525A">
            <w:pPr>
              <w:ind w:left="-553" w:firstLine="553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D1E2C">
              <w:rPr>
                <w:rFonts w:asciiTheme="majorHAnsi" w:hAnsiTheme="majorHAnsi"/>
                <w:color w:val="000000"/>
                <w:sz w:val="22"/>
                <w:szCs w:val="22"/>
              </w:rPr>
              <w:t>Vector Ltd</w:t>
            </w:r>
          </w:p>
        </w:tc>
        <w:tc>
          <w:tcPr>
            <w:tcW w:w="1599" w:type="dxa"/>
          </w:tcPr>
          <w:p w:rsidR="004F3788" w:rsidRPr="00C92DAA" w:rsidRDefault="004F3788" w:rsidP="00AD525A">
            <w:pPr>
              <w:rPr>
                <w:rFonts w:ascii="Calibri" w:hAnsi="Calibri" w:cs="Calibri"/>
                <w:color w:val="000000"/>
              </w:rPr>
            </w:pPr>
            <w:r w:rsidRPr="00C92DAA">
              <w:rPr>
                <w:rFonts w:ascii="Calibri" w:hAnsi="Calibri" w:cs="Calibri"/>
                <w:color w:val="000000"/>
              </w:rPr>
              <w:t>NZD 5,298,612</w:t>
            </w:r>
          </w:p>
        </w:tc>
        <w:tc>
          <w:tcPr>
            <w:tcW w:w="1599" w:type="dxa"/>
          </w:tcPr>
          <w:p w:rsidR="004F3788" w:rsidRPr="00C92DAA" w:rsidRDefault="004F3788" w:rsidP="00AD52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599" w:type="dxa"/>
          </w:tcPr>
          <w:p w:rsidR="004F3788" w:rsidRPr="00C92DAA" w:rsidRDefault="004F3788" w:rsidP="00AD52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</w:tcPr>
          <w:p w:rsidR="004F3788" w:rsidRDefault="004F3788" w:rsidP="004F37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Bid was not substantially complete</w:t>
            </w:r>
          </w:p>
        </w:tc>
      </w:tr>
      <w:tr w:rsidR="004F3788" w:rsidRPr="00DD1E2C" w:rsidTr="00AD525A">
        <w:trPr>
          <w:trHeight w:val="30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4F3788" w:rsidRPr="00DD1E2C" w:rsidRDefault="004F3788" w:rsidP="00AD525A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DD1E2C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F3788" w:rsidRPr="00DD1E2C" w:rsidRDefault="004F3788" w:rsidP="00AD525A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Sun Farming</w:t>
            </w:r>
          </w:p>
        </w:tc>
        <w:tc>
          <w:tcPr>
            <w:tcW w:w="1599" w:type="dxa"/>
          </w:tcPr>
          <w:p w:rsidR="004F3788" w:rsidRPr="00C92DAA" w:rsidRDefault="004F3788" w:rsidP="00AD525A">
            <w:pPr>
              <w:rPr>
                <w:rFonts w:ascii="Calibri" w:hAnsi="Calibri" w:cs="Calibri"/>
                <w:color w:val="000000"/>
              </w:rPr>
            </w:pPr>
            <w:r w:rsidRPr="00C92DAA">
              <w:rPr>
                <w:rFonts w:ascii="Calibri" w:hAnsi="Calibri" w:cs="Calibri"/>
                <w:color w:val="000000"/>
              </w:rPr>
              <w:t>€ 5,170,514</w:t>
            </w:r>
          </w:p>
        </w:tc>
        <w:tc>
          <w:tcPr>
            <w:tcW w:w="1599" w:type="dxa"/>
          </w:tcPr>
          <w:p w:rsidR="004F3788" w:rsidRPr="00C92DAA" w:rsidRDefault="004F3788" w:rsidP="00AD52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599" w:type="dxa"/>
          </w:tcPr>
          <w:p w:rsidR="004F3788" w:rsidRPr="00C92DAA" w:rsidRDefault="004F3788" w:rsidP="00AD52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</w:tcPr>
          <w:p w:rsidR="004F3788" w:rsidRDefault="004F3788" w:rsidP="00AD52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Bid was not substantially complete</w:t>
            </w:r>
          </w:p>
        </w:tc>
      </w:tr>
      <w:tr w:rsidR="004F3788" w:rsidRPr="00DD1E2C" w:rsidTr="00AD525A">
        <w:trPr>
          <w:trHeight w:val="30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4F3788" w:rsidRPr="00DD1E2C" w:rsidRDefault="004F3788" w:rsidP="00AD525A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DD1E2C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F3788" w:rsidRPr="00DD1E2C" w:rsidRDefault="004F3788" w:rsidP="00AD525A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D1E2C">
              <w:rPr>
                <w:rFonts w:asciiTheme="majorHAnsi" w:hAnsiTheme="majorHAnsi"/>
                <w:color w:val="000000"/>
                <w:sz w:val="22"/>
                <w:szCs w:val="22"/>
              </w:rPr>
              <w:t>Powersmart Ltd</w:t>
            </w:r>
          </w:p>
        </w:tc>
        <w:tc>
          <w:tcPr>
            <w:tcW w:w="1599" w:type="dxa"/>
          </w:tcPr>
          <w:p w:rsidR="004F3788" w:rsidRPr="00C92DAA" w:rsidRDefault="004F3788" w:rsidP="00AD525A">
            <w:pPr>
              <w:rPr>
                <w:rFonts w:ascii="Calibri" w:hAnsi="Calibri" w:cs="Calibri"/>
                <w:color w:val="000000"/>
              </w:rPr>
            </w:pPr>
            <w:r w:rsidRPr="00C92DAA">
              <w:rPr>
                <w:rFonts w:ascii="Calibri" w:hAnsi="Calibri" w:cs="Calibri"/>
                <w:color w:val="000000"/>
              </w:rPr>
              <w:t>€ 1995775</w:t>
            </w:r>
          </w:p>
          <w:p w:rsidR="004F3788" w:rsidRPr="00C92DAA" w:rsidRDefault="004F3788" w:rsidP="00AD525A">
            <w:pPr>
              <w:rPr>
                <w:rFonts w:ascii="Calibri" w:hAnsi="Calibri" w:cs="Calibri"/>
                <w:color w:val="000000"/>
              </w:rPr>
            </w:pPr>
            <w:r w:rsidRPr="00C92DAA">
              <w:rPr>
                <w:rFonts w:ascii="Calibri" w:hAnsi="Calibri" w:cs="Calibri"/>
                <w:color w:val="000000"/>
              </w:rPr>
              <w:t>NZD 3,966,522</w:t>
            </w:r>
          </w:p>
        </w:tc>
        <w:tc>
          <w:tcPr>
            <w:tcW w:w="1599" w:type="dxa"/>
          </w:tcPr>
          <w:p w:rsidR="004F3788" w:rsidRPr="00C92DAA" w:rsidRDefault="004F3788" w:rsidP="00AD52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599" w:type="dxa"/>
          </w:tcPr>
          <w:p w:rsidR="004F3788" w:rsidRPr="00C92DAA" w:rsidRDefault="004F3788" w:rsidP="00AD52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</w:tcPr>
          <w:p w:rsidR="004F3788" w:rsidRDefault="004F3788" w:rsidP="00AD52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Bid was not substantially responsive</w:t>
            </w:r>
          </w:p>
        </w:tc>
      </w:tr>
      <w:tr w:rsidR="004F3788" w:rsidRPr="00DD1E2C" w:rsidTr="00AD525A">
        <w:trPr>
          <w:trHeight w:val="30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4F3788" w:rsidRPr="00DD1E2C" w:rsidRDefault="004F3788" w:rsidP="00AD525A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DD1E2C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F3788" w:rsidRPr="00DD1E2C" w:rsidRDefault="004F3788" w:rsidP="00AD525A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D1E2C">
              <w:rPr>
                <w:rFonts w:asciiTheme="majorHAnsi" w:hAnsiTheme="majorHAnsi"/>
                <w:color w:val="000000"/>
                <w:sz w:val="22"/>
                <w:szCs w:val="22"/>
              </w:rPr>
              <w:t>Netcon Ltd</w:t>
            </w:r>
          </w:p>
        </w:tc>
        <w:tc>
          <w:tcPr>
            <w:tcW w:w="1599" w:type="dxa"/>
          </w:tcPr>
          <w:p w:rsidR="004F3788" w:rsidRPr="00C92DAA" w:rsidRDefault="004F3788" w:rsidP="00AD525A">
            <w:pPr>
              <w:rPr>
                <w:rFonts w:ascii="Calibri" w:hAnsi="Calibri" w:cs="Calibri"/>
                <w:color w:val="000000"/>
              </w:rPr>
            </w:pPr>
            <w:r w:rsidRPr="00C92DAA">
              <w:rPr>
                <w:rFonts w:ascii="Calibri" w:hAnsi="Calibri" w:cs="Calibri"/>
                <w:color w:val="000000"/>
              </w:rPr>
              <w:t>NZD 8,583,670</w:t>
            </w:r>
          </w:p>
        </w:tc>
        <w:tc>
          <w:tcPr>
            <w:tcW w:w="1599" w:type="dxa"/>
          </w:tcPr>
          <w:p w:rsidR="004F3788" w:rsidRPr="002025B9" w:rsidRDefault="004F3788" w:rsidP="00AD52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NZD 8,584,054</w:t>
            </w:r>
            <w:r w:rsidRPr="002025B9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99" w:type="dxa"/>
          </w:tcPr>
          <w:p w:rsidR="004F3788" w:rsidRPr="00C92DAA" w:rsidRDefault="004F3788" w:rsidP="00AD52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9" w:type="dxa"/>
          </w:tcPr>
          <w:p w:rsidR="004F3788" w:rsidRPr="00C92DAA" w:rsidRDefault="004F3788" w:rsidP="00AD525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F3788" w:rsidRPr="00DD1E2C" w:rsidTr="00AD525A">
        <w:trPr>
          <w:trHeight w:val="30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4F3788" w:rsidRPr="00DD1E2C" w:rsidRDefault="004F3788" w:rsidP="00AD525A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DD1E2C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F3788" w:rsidRPr="00DD1E2C" w:rsidRDefault="004F3788" w:rsidP="00AD525A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D1E2C">
              <w:rPr>
                <w:rFonts w:asciiTheme="majorHAnsi" w:hAnsiTheme="majorHAnsi"/>
                <w:color w:val="000000"/>
                <w:sz w:val="22"/>
                <w:szCs w:val="22"/>
              </w:rPr>
              <w:t>SolarCity Ltd</w:t>
            </w:r>
          </w:p>
        </w:tc>
        <w:tc>
          <w:tcPr>
            <w:tcW w:w="1599" w:type="dxa"/>
          </w:tcPr>
          <w:p w:rsidR="004F3788" w:rsidRPr="00C92DAA" w:rsidRDefault="004F3788" w:rsidP="00AD52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USD 17,278,974</w:t>
            </w:r>
          </w:p>
        </w:tc>
        <w:tc>
          <w:tcPr>
            <w:tcW w:w="1599" w:type="dxa"/>
          </w:tcPr>
          <w:p w:rsidR="004F3788" w:rsidRDefault="004F3788" w:rsidP="00AD52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599" w:type="dxa"/>
          </w:tcPr>
          <w:p w:rsidR="004F3788" w:rsidRDefault="004F3788" w:rsidP="00AD52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</w:tcPr>
          <w:p w:rsidR="004F3788" w:rsidRDefault="004F3788" w:rsidP="00AD52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Bid was not substantially responsive</w:t>
            </w:r>
          </w:p>
        </w:tc>
      </w:tr>
      <w:tr w:rsidR="004F3788" w:rsidRPr="00DD1E2C" w:rsidTr="00AD525A">
        <w:trPr>
          <w:trHeight w:val="30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4F3788" w:rsidRPr="00DD1E2C" w:rsidRDefault="004F3788" w:rsidP="00AD525A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DD1E2C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F3788" w:rsidRDefault="004F3788" w:rsidP="00AD525A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D1E2C">
              <w:rPr>
                <w:rFonts w:asciiTheme="majorHAnsi" w:hAnsiTheme="majorHAnsi"/>
                <w:color w:val="000000"/>
                <w:sz w:val="22"/>
                <w:szCs w:val="22"/>
              </w:rPr>
              <w:t>Clay Energy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</w:p>
          <w:p w:rsidR="004F3788" w:rsidRPr="00DD1E2C" w:rsidRDefault="004F3788" w:rsidP="00AD525A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Pacific Building Solutions</w:t>
            </w:r>
          </w:p>
        </w:tc>
        <w:tc>
          <w:tcPr>
            <w:tcW w:w="1599" w:type="dxa"/>
          </w:tcPr>
          <w:p w:rsidR="004F3788" w:rsidRPr="00C92DAA" w:rsidRDefault="004F3788" w:rsidP="00AD52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€ 465,480</w:t>
            </w:r>
          </w:p>
          <w:p w:rsidR="004F3788" w:rsidRPr="00C92DAA" w:rsidRDefault="004F3788" w:rsidP="00AD52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NZD 6,651,790</w:t>
            </w:r>
          </w:p>
        </w:tc>
        <w:tc>
          <w:tcPr>
            <w:tcW w:w="1599" w:type="dxa"/>
          </w:tcPr>
          <w:p w:rsidR="004F3788" w:rsidRDefault="004F3788" w:rsidP="00AD52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599" w:type="dxa"/>
          </w:tcPr>
          <w:p w:rsidR="004F3788" w:rsidRDefault="004F3788" w:rsidP="00AD52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</w:tcPr>
          <w:p w:rsidR="004F3788" w:rsidRDefault="004F3788" w:rsidP="00AD52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Bid was not substantially responsive</w:t>
            </w:r>
          </w:p>
        </w:tc>
      </w:tr>
      <w:tr w:rsidR="004F3788" w:rsidRPr="00DD1E2C" w:rsidTr="00AD525A">
        <w:trPr>
          <w:trHeight w:val="30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4F3788" w:rsidRPr="00DD1E2C" w:rsidRDefault="004F3788" w:rsidP="00AD525A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DD1E2C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F3788" w:rsidRDefault="004F3788" w:rsidP="00AD525A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CBS Power Solutions</w:t>
            </w:r>
          </w:p>
          <w:p w:rsidR="004F3788" w:rsidRPr="00DD1E2C" w:rsidRDefault="004F3788" w:rsidP="00AD525A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Yingli Australia</w:t>
            </w:r>
          </w:p>
        </w:tc>
        <w:tc>
          <w:tcPr>
            <w:tcW w:w="1599" w:type="dxa"/>
          </w:tcPr>
          <w:p w:rsidR="004F3788" w:rsidRPr="00C92DAA" w:rsidRDefault="004F3788" w:rsidP="00AD52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USD 4,239,332</w:t>
            </w:r>
          </w:p>
        </w:tc>
        <w:tc>
          <w:tcPr>
            <w:tcW w:w="1599" w:type="dxa"/>
          </w:tcPr>
          <w:p w:rsidR="004F3788" w:rsidRDefault="004F3788" w:rsidP="00AD52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599" w:type="dxa"/>
          </w:tcPr>
          <w:p w:rsidR="004F3788" w:rsidRDefault="004F3788" w:rsidP="00AD52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</w:tcPr>
          <w:p w:rsidR="004F3788" w:rsidRDefault="004F3788" w:rsidP="00AD52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Bid was not substantially responsive</w:t>
            </w:r>
          </w:p>
        </w:tc>
      </w:tr>
    </w:tbl>
    <w:p w:rsidR="00803250" w:rsidRDefault="00803250"/>
    <w:p w:rsidR="00AD6B1A" w:rsidRDefault="00AD6B1A" w:rsidP="00557196">
      <w:r>
        <w:t xml:space="preserve">The winning bidder was Netcon Ltd. The </w:t>
      </w:r>
      <w:r w:rsidR="004F3788">
        <w:t xml:space="preserve">negotiated contract </w:t>
      </w:r>
      <w:r>
        <w:t xml:space="preserve">price was </w:t>
      </w:r>
      <w:r w:rsidR="00557196">
        <w:t>the sum of NZ$ 7,708,494.88 and €1,023,208.74.</w:t>
      </w:r>
    </w:p>
    <w:p w:rsidR="00AD6B1A" w:rsidRDefault="00AD6B1A"/>
    <w:p w:rsidR="00803250" w:rsidRDefault="00803250">
      <w:r>
        <w:t xml:space="preserve">The scope of the contract is the design, procurement and construction of </w:t>
      </w:r>
      <w:r w:rsidRPr="00803250">
        <w:t>hybrid renewable energy system</w:t>
      </w:r>
      <w:r>
        <w:t xml:space="preserve">s on the islands of Atiu, Mangaia, Mauke and Mitiaro. The systems shall comprise solar plant and </w:t>
      </w:r>
      <w:r w:rsidRPr="00803250">
        <w:t>powerhouse with battery energy storage system (BESS), integrated with diesel generators for backup power supply and connected to the grid</w:t>
      </w:r>
      <w:r w:rsidR="004F3788">
        <w:t>, including spare parts</w:t>
      </w:r>
      <w:r w:rsidR="00557196">
        <w:t>.</w:t>
      </w:r>
      <w:r w:rsidR="004F3788">
        <w:t xml:space="preserve"> The scope excludes supply of solar PV modules and civil works</w:t>
      </w:r>
      <w:r w:rsidR="00015D61">
        <w:t>, but includes the supply of solar PV framing</w:t>
      </w:r>
      <w:r w:rsidR="004F3788">
        <w:t>.</w:t>
      </w:r>
    </w:p>
    <w:p w:rsidR="00AD6B1A" w:rsidRDefault="00AD6B1A"/>
    <w:p w:rsidR="00AD6B1A" w:rsidRPr="00557196" w:rsidRDefault="00803250">
      <w:r w:rsidRPr="00557196">
        <w:rPr>
          <w:rFonts w:cs="Arial"/>
          <w:szCs w:val="24"/>
        </w:rPr>
        <w:t xml:space="preserve">The Time for Completion of the </w:t>
      </w:r>
      <w:r w:rsidR="00557196">
        <w:rPr>
          <w:rFonts w:cs="Arial"/>
          <w:szCs w:val="24"/>
        </w:rPr>
        <w:t>f</w:t>
      </w:r>
      <w:r w:rsidRPr="00557196">
        <w:rPr>
          <w:rFonts w:cs="Arial"/>
          <w:szCs w:val="24"/>
        </w:rPr>
        <w:t>acilities is 365 days</w:t>
      </w:r>
      <w:r w:rsidR="00557196">
        <w:rPr>
          <w:rFonts w:cs="Arial"/>
          <w:szCs w:val="24"/>
        </w:rPr>
        <w:t>.</w:t>
      </w:r>
    </w:p>
    <w:sectPr w:rsidR="00AD6B1A" w:rsidRPr="005571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E8E"/>
    <w:rsid w:val="00015D61"/>
    <w:rsid w:val="003E3E8E"/>
    <w:rsid w:val="004915AF"/>
    <w:rsid w:val="004F3788"/>
    <w:rsid w:val="00557196"/>
    <w:rsid w:val="005A65E3"/>
    <w:rsid w:val="007C015A"/>
    <w:rsid w:val="00803250"/>
    <w:rsid w:val="008421D1"/>
    <w:rsid w:val="00870FDA"/>
    <w:rsid w:val="00AD6B1A"/>
    <w:rsid w:val="00AE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1313</Characters>
  <Application>Microsoft Macintosh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Hydro Tasmania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Blanksby REV2</dc:creator>
  <cp:lastModifiedBy>Teresa Manarangi-Trott</cp:lastModifiedBy>
  <cp:revision>2</cp:revision>
  <dcterms:created xsi:type="dcterms:W3CDTF">2016-08-19T21:27:00Z</dcterms:created>
  <dcterms:modified xsi:type="dcterms:W3CDTF">2016-08-19T21:27:00Z</dcterms:modified>
</cp:coreProperties>
</file>